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8071" w14:textId="77777777" w:rsidR="001765F5" w:rsidRPr="001C4782" w:rsidRDefault="00B93093" w:rsidP="001C4782">
      <w:pPr>
        <w:spacing w:line="240" w:lineRule="auto"/>
        <w:jc w:val="both"/>
        <w:rPr>
          <w:rFonts w:ascii="Titillium Web" w:eastAsia="Calibri" w:hAnsi="Titillium Web" w:cstheme="minorHAnsi"/>
          <w:sz w:val="24"/>
          <w:szCs w:val="24"/>
        </w:rPr>
      </w:pP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Si è conclusa </w:t>
      </w:r>
      <w:r w:rsidR="001765F5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anche per questo anno scolastico 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la procedura di selezione del Concorso nazionale “Onesti nello Sport</w:t>
      </w:r>
      <w:r w:rsidR="001765F5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”, 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che ha visto protagonisti gli studenti degli Istituti scolastici secondari di II grado sul tema </w:t>
      </w:r>
      <w:r w:rsidR="001765F5" w:rsidRPr="001C4782">
        <w:rPr>
          <w:rFonts w:ascii="Titillium Web" w:eastAsia="Calibri" w:hAnsi="Titillium Web" w:cstheme="minorHAnsi"/>
          <w:sz w:val="24"/>
          <w:szCs w:val="24"/>
        </w:rPr>
        <w:t>concorso “Onesti nello sport” X edizione, dal tema “</w:t>
      </w:r>
      <w:r w:rsidR="001765F5" w:rsidRPr="001C4782">
        <w:rPr>
          <w:rFonts w:ascii="Titillium Web" w:hAnsi="Titillium Web" w:cstheme="minorHAnsi"/>
          <w:color w:val="222222"/>
          <w:sz w:val="24"/>
          <w:szCs w:val="24"/>
          <w:shd w:val="clear" w:color="auto" w:fill="FFFFFF"/>
        </w:rPr>
        <w:t>Con lo sport stop al bullismo</w:t>
      </w:r>
      <w:r w:rsidR="001765F5" w:rsidRPr="001C4782">
        <w:rPr>
          <w:rFonts w:ascii="Titillium Web" w:eastAsia="Calibri" w:hAnsi="Titillium Web" w:cstheme="minorHAnsi"/>
          <w:sz w:val="24"/>
          <w:szCs w:val="24"/>
        </w:rPr>
        <w:t>”.</w:t>
      </w:r>
    </w:p>
    <w:p w14:paraId="11817149" w14:textId="3331B3A0" w:rsidR="001C4782" w:rsidRPr="001C4782" w:rsidRDefault="00B93093" w:rsidP="001C4782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</w:pP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Il Concorso, svolto in collaborazione con la Fondazione Giulio Onesti - Accademia Olimpica Nazionale Italiana, ha visto la partecipazione di </w:t>
      </w:r>
      <w:r w:rsidR="001C4782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67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 istituti </w:t>
      </w:r>
      <w:r w:rsidR="001C4782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scolastici 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che hanno inviato oltre </w:t>
      </w:r>
      <w:r w:rsidR="001C4782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139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 xml:space="preserve"> video, tra cortometraggi, foto-storie e canzoni inedite, per narrare il loro punto di vista rispetto al </w:t>
      </w:r>
      <w:r w:rsidR="001C4782" w:rsidRPr="001C4782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tema “</w:t>
      </w:r>
      <w:r w:rsidR="001C4782" w:rsidRPr="001C4782">
        <w:rPr>
          <w:rFonts w:ascii="Titillium Web" w:hAnsi="Titillium Web" w:cstheme="minorHAnsi"/>
          <w:color w:val="222222"/>
          <w:sz w:val="24"/>
          <w:szCs w:val="24"/>
          <w:shd w:val="clear" w:color="auto" w:fill="FFFFFF"/>
        </w:rPr>
        <w:t>Con lo sport stop al bullismo</w:t>
      </w: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”.</w:t>
      </w:r>
    </w:p>
    <w:p w14:paraId="14C4C4CA" w14:textId="77777777" w:rsidR="001C4782" w:rsidRPr="001C4782" w:rsidRDefault="001C4782" w:rsidP="001C4782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</w:pPr>
    </w:p>
    <w:p w14:paraId="0FB1594A" w14:textId="432353C3" w:rsidR="00B93093" w:rsidRDefault="00B93093" w:rsidP="00B93093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</w:pP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Lo sport si conferma, dunque, una forma di linguaggio universale, cerniera tra culture diverse in grado di interpretare, a volte di anticipare, fenomeni storici, sociali e di progresso tecnologico.</w:t>
      </w:r>
    </w:p>
    <w:p w14:paraId="3D512693" w14:textId="77777777" w:rsidR="006F3565" w:rsidRPr="00B93093" w:rsidRDefault="006F3565" w:rsidP="00B93093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</w:pPr>
    </w:p>
    <w:p w14:paraId="21FA7FB6" w14:textId="6D419ADC" w:rsidR="001C4782" w:rsidRPr="00B93093" w:rsidRDefault="00B93093" w:rsidP="00B93093">
      <w:pPr>
        <w:shd w:val="clear" w:color="auto" w:fill="FFFFFF"/>
        <w:spacing w:after="375" w:line="240" w:lineRule="auto"/>
        <w:jc w:val="both"/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</w:pPr>
      <w:r w:rsidRPr="00B93093">
        <w:rPr>
          <w:rFonts w:ascii="Titillium Web" w:eastAsia="Times New Roman" w:hAnsi="Titillium Web" w:cs="Times New Roman"/>
          <w:noProof w:val="0"/>
          <w:color w:val="333333"/>
          <w:sz w:val="24"/>
          <w:szCs w:val="24"/>
          <w:lang w:eastAsia="it-IT"/>
        </w:rPr>
        <w:t>Di seguito la tabella con le scuole vincitrici e i prodotti multimediali da loro realizzati: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071"/>
        <w:gridCol w:w="5547"/>
        <w:gridCol w:w="75"/>
      </w:tblGrid>
      <w:tr w:rsidR="00B93093" w:rsidRPr="00B93093" w14:paraId="74971A67" w14:textId="77777777" w:rsidTr="00B93093">
        <w:tc>
          <w:tcPr>
            <w:tcW w:w="103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88705" w14:textId="77777777" w:rsidR="00B93093" w:rsidRPr="00B93093" w:rsidRDefault="00B93093" w:rsidP="00B93093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 </w:t>
            </w:r>
          </w:p>
          <w:p w14:paraId="70908DA6" w14:textId="63440291" w:rsidR="00B93093" w:rsidRPr="00B93093" w:rsidRDefault="00B93093" w:rsidP="00B93093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CONCORSO ONESTI NELLO SPORT 202</w:t>
            </w:r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1</w:t>
            </w: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-2</w:t>
            </w:r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2</w:t>
            </w:r>
          </w:p>
        </w:tc>
      </w:tr>
      <w:tr w:rsidR="00EE4254" w:rsidRPr="00B93093" w14:paraId="0B0E54CF" w14:textId="77777777" w:rsidTr="00B93093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CE06B" w14:textId="77777777" w:rsidR="00B93093" w:rsidRPr="00B93093" w:rsidRDefault="00B93093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CATEGORIE DI VALUTAZIONE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A6494" w14:textId="0A6CDC18" w:rsidR="00B93093" w:rsidRPr="00B93093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 xml:space="preserve">TITOLO DELL’OPERA E </w:t>
            </w:r>
            <w:r w:rsidR="00B93093"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SCUOLA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15755" w14:textId="77777777" w:rsidR="00B93093" w:rsidRPr="00B93093" w:rsidRDefault="00B93093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LINK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04259" w14:textId="77777777" w:rsidR="00B93093" w:rsidRPr="00B93093" w:rsidRDefault="00B93093" w:rsidP="00B93093">
            <w:pPr>
              <w:spacing w:after="375" w:line="240" w:lineRule="auto"/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</w:pPr>
            <w:r w:rsidRPr="00B93093"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  <w:t> </w:t>
            </w:r>
          </w:p>
        </w:tc>
      </w:tr>
      <w:tr w:rsidR="00EE4254" w:rsidRPr="00B93093" w14:paraId="794F2D0F" w14:textId="77777777" w:rsidTr="00B93093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84212" w14:textId="77777777" w:rsidR="00B93093" w:rsidRPr="00B93093" w:rsidRDefault="00B93093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SETTORE 1</w:t>
            </w: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br/>
              <w:t>Video – musicale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B0A06" w14:textId="75DB0FD5" w:rsidR="00B93093" w:rsidRPr="00EE4254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“</w:t>
            </w:r>
            <w:proofErr w:type="spellStart"/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Shades</w:t>
            </w:r>
            <w:proofErr w:type="spellEnd"/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 xml:space="preserve"> of </w:t>
            </w:r>
            <w:proofErr w:type="spellStart"/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rainbow</w:t>
            </w:r>
            <w:proofErr w:type="spellEnd"/>
            <w:r w:rsidR="006F3565"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, In punta di piedi</w:t>
            </w: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”</w:t>
            </w:r>
          </w:p>
          <w:p w14:paraId="1239A1DE" w14:textId="45DFDB95" w:rsidR="006F3565" w:rsidRPr="00EE4254" w:rsidRDefault="006F3565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</w:p>
          <w:p w14:paraId="37F7CF07" w14:textId="74E52D4F" w:rsidR="006F3565" w:rsidRPr="00EE4254" w:rsidRDefault="006F3565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Liceo Severi;</w:t>
            </w:r>
          </w:p>
          <w:p w14:paraId="666B8135" w14:textId="30551928" w:rsidR="006F3565" w:rsidRPr="00B93093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Calibri" w:cstheme="minorHAnsi"/>
                <w:sz w:val="26"/>
                <w:szCs w:val="26"/>
              </w:rPr>
              <w:t>Castellammare di Stabia, Napoli- (Campania).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DB2195" w14:textId="09E6BC1D" w:rsidR="00B93093" w:rsidRPr="00EE4254" w:rsidRDefault="00B93093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  </w:t>
            </w:r>
            <w:hyperlink r:id="rId4" w:history="1">
              <w:r w:rsidR="006F3565" w:rsidRPr="00EE4254">
                <w:rPr>
                  <w:rStyle w:val="Collegamentoipertestuale"/>
                  <w:rFonts w:eastAsia="Times New Roman" w:cstheme="minorHAnsi"/>
                  <w:noProof w:val="0"/>
                  <w:sz w:val="26"/>
                  <w:szCs w:val="26"/>
                  <w:lang w:eastAsia="it-IT"/>
                </w:rPr>
                <w:t>https://www.youtube.com/watch?v=dGEX-5b_Pb4</w:t>
              </w:r>
            </w:hyperlink>
          </w:p>
          <w:p w14:paraId="0CA08707" w14:textId="77777777" w:rsidR="006F3565" w:rsidRPr="00B93093" w:rsidRDefault="006F3565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</w:p>
          <w:p w14:paraId="4C73FE6E" w14:textId="48038E4D" w:rsidR="00B93093" w:rsidRPr="00B93093" w:rsidRDefault="00B93093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49044" w14:textId="77777777" w:rsidR="00B93093" w:rsidRPr="00B93093" w:rsidRDefault="00B93093" w:rsidP="00B93093">
            <w:pPr>
              <w:spacing w:after="375" w:line="240" w:lineRule="auto"/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</w:pPr>
            <w:r w:rsidRPr="00B93093"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  <w:t> </w:t>
            </w:r>
          </w:p>
        </w:tc>
      </w:tr>
      <w:tr w:rsidR="00EE4254" w:rsidRPr="00B93093" w14:paraId="2B11A5B5" w14:textId="77777777" w:rsidTr="00B93093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086AB" w14:textId="77777777" w:rsidR="00B93093" w:rsidRPr="00B93093" w:rsidRDefault="00B93093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SETTORE 2</w:t>
            </w: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br/>
              <w:t>Stories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25714" w14:textId="5BCF5A9F" w:rsidR="00EE4254" w:rsidRPr="00EE4254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 xml:space="preserve">“Fast </w:t>
            </w:r>
            <w:proofErr w:type="spellStart"/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as</w:t>
            </w:r>
            <w:proofErr w:type="spellEnd"/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 xml:space="preserve"> dreams”</w:t>
            </w:r>
          </w:p>
          <w:p w14:paraId="1C778E7A" w14:textId="77777777" w:rsidR="00B93093" w:rsidRPr="00EE4254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Volterra 1C,</w:t>
            </w:r>
            <w:r w:rsidRPr="00EE4254">
              <w:rPr>
                <w:rFonts w:cstheme="minorHAnsi"/>
                <w:sz w:val="26"/>
                <w:szCs w:val="26"/>
              </w:rPr>
              <w:t xml:space="preserve"> </w:t>
            </w: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Liceo Scientifico Statale Vito Volterra;</w:t>
            </w:r>
          </w:p>
          <w:p w14:paraId="76BB2F73" w14:textId="76F400A9" w:rsidR="00EE4254" w:rsidRPr="00B93093" w:rsidRDefault="00EE4254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EE4254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 xml:space="preserve">Ciampino Roma (Lazio) 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184D2F" w14:textId="358DD155" w:rsidR="00B93093" w:rsidRPr="00EE4254" w:rsidRDefault="00B93093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 </w:t>
            </w:r>
            <w:hyperlink r:id="rId5" w:history="1">
              <w:r w:rsidR="00EE4254" w:rsidRPr="00EE4254">
                <w:rPr>
                  <w:rStyle w:val="Collegamentoipertestuale"/>
                  <w:rFonts w:eastAsia="Times New Roman" w:cstheme="minorHAnsi"/>
                  <w:noProof w:val="0"/>
                  <w:sz w:val="26"/>
                  <w:szCs w:val="26"/>
                  <w:lang w:eastAsia="it-IT"/>
                </w:rPr>
                <w:t>https://www.youtube.com/watch?v=BYjFGOnkVHU</w:t>
              </w:r>
            </w:hyperlink>
          </w:p>
          <w:p w14:paraId="390A319B" w14:textId="77777777" w:rsidR="00EE4254" w:rsidRPr="00B93093" w:rsidRDefault="00EE4254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</w:p>
          <w:p w14:paraId="6D55C808" w14:textId="77777777" w:rsidR="00B93093" w:rsidRPr="00B93093" w:rsidRDefault="00B93093" w:rsidP="00B93093">
            <w:pPr>
              <w:spacing w:after="375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  <w:r w:rsidRPr="00B93093"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  <w:t> </w:t>
            </w:r>
          </w:p>
          <w:p w14:paraId="0EE7D172" w14:textId="366179CE" w:rsidR="00B93093" w:rsidRPr="00B93093" w:rsidRDefault="00B93093" w:rsidP="00B93093">
            <w:pPr>
              <w:spacing w:after="0" w:line="240" w:lineRule="auto"/>
              <w:rPr>
                <w:rFonts w:eastAsia="Times New Roman" w:cstheme="minorHAnsi"/>
                <w:noProof w:val="0"/>
                <w:color w:val="333333"/>
                <w:sz w:val="26"/>
                <w:szCs w:val="26"/>
                <w:lang w:eastAsia="it-IT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AC3AD" w14:textId="77777777" w:rsidR="00B93093" w:rsidRPr="00B93093" w:rsidRDefault="00B93093" w:rsidP="00B93093">
            <w:pPr>
              <w:spacing w:after="375" w:line="240" w:lineRule="auto"/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</w:pPr>
            <w:r w:rsidRPr="00B93093">
              <w:rPr>
                <w:rFonts w:ascii="Titillium Web" w:eastAsia="Times New Roman" w:hAnsi="Titillium Web" w:cs="Times New Roman"/>
                <w:noProof w:val="0"/>
                <w:color w:val="333333"/>
                <w:sz w:val="27"/>
                <w:szCs w:val="27"/>
                <w:lang w:eastAsia="it-IT"/>
              </w:rPr>
              <w:t> </w:t>
            </w:r>
          </w:p>
        </w:tc>
      </w:tr>
    </w:tbl>
    <w:p w14:paraId="5F0ECCEB" w14:textId="77777777" w:rsidR="00B93093" w:rsidRPr="00B93093" w:rsidRDefault="00B93093" w:rsidP="00B93093">
      <w:pPr>
        <w:shd w:val="clear" w:color="auto" w:fill="FFFFFF"/>
        <w:spacing w:after="375" w:line="240" w:lineRule="auto"/>
        <w:rPr>
          <w:rFonts w:ascii="Titillium Web" w:eastAsia="Times New Roman" w:hAnsi="Titillium Web" w:cs="Times New Roman"/>
          <w:noProof w:val="0"/>
          <w:color w:val="333333"/>
          <w:sz w:val="27"/>
          <w:szCs w:val="27"/>
          <w:lang w:eastAsia="it-IT"/>
        </w:rPr>
      </w:pPr>
      <w:r w:rsidRPr="00B93093">
        <w:rPr>
          <w:rFonts w:ascii="Titillium Web" w:eastAsia="Times New Roman" w:hAnsi="Titillium Web" w:cs="Times New Roman"/>
          <w:noProof w:val="0"/>
          <w:color w:val="333333"/>
          <w:sz w:val="27"/>
          <w:szCs w:val="27"/>
          <w:lang w:eastAsia="it-IT"/>
        </w:rPr>
        <w:t> </w:t>
      </w:r>
    </w:p>
    <w:p w14:paraId="3CD19CAC" w14:textId="77777777" w:rsidR="00BA123E" w:rsidRDefault="00BA123E"/>
    <w:sectPr w:rsidR="00BA1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3"/>
    <w:rsid w:val="001765F5"/>
    <w:rsid w:val="001C4782"/>
    <w:rsid w:val="006F3565"/>
    <w:rsid w:val="00846327"/>
    <w:rsid w:val="00B93093"/>
    <w:rsid w:val="00BA123E"/>
    <w:rsid w:val="00D35C79"/>
    <w:rsid w:val="00EE4254"/>
    <w:rsid w:val="00F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2D9B"/>
  <w15:chartTrackingRefBased/>
  <w15:docId w15:val="{2E793250-A794-4F99-A098-C2DF8BBB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9309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309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356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42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YjFGOnkVHU" TargetMode="External"/><Relationship Id="rId4" Type="http://schemas.openxmlformats.org/officeDocument/2006/relationships/hyperlink" Target="https://www.youtube.com/watch?v=dGEX-5b_Pb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Giulia</dc:creator>
  <cp:keywords/>
  <dc:description/>
  <cp:lastModifiedBy>Salvatori Giulia</cp:lastModifiedBy>
  <cp:revision>2</cp:revision>
  <dcterms:created xsi:type="dcterms:W3CDTF">2022-07-22T11:26:00Z</dcterms:created>
  <dcterms:modified xsi:type="dcterms:W3CDTF">2022-07-22T11:26:00Z</dcterms:modified>
</cp:coreProperties>
</file>